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spacing w:line="276" w:lineRule="auto"/>
        <w:jc w:val="center"/>
        <w:rPr>
          <w:rFonts w:ascii="微软雅黑" w:hAnsi="微软雅黑" w:eastAsia="微软雅黑" w:cs="微软雅黑"/>
          <w:b/>
          <w:sz w:val="28"/>
          <w:szCs w:val="28"/>
          <w:highlight w:val="none"/>
        </w:rPr>
      </w:pPr>
    </w:p>
    <w:p>
      <w:pPr>
        <w:spacing w:line="420" w:lineRule="exact"/>
        <w:jc w:val="center"/>
        <w:rPr>
          <w:rFonts w:ascii="宋体" w:hAnsi="宋体"/>
          <w:color w:val="000000" w:themeColor="text1"/>
          <w:sz w:val="40"/>
          <w:szCs w:val="4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金融学</w:t>
      </w:r>
      <w:r>
        <w:rPr>
          <w:rFonts w:hint="eastAsia" w:ascii="宋体" w:hAnsi="宋体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培养方案</w:t>
      </w:r>
      <w:r>
        <w:rPr>
          <w:rFonts w:hint="eastAsia" w:ascii="宋体" w:hAnsi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（学科代码020204）</w:t>
      </w:r>
    </w:p>
    <w:p>
      <w:pPr>
        <w:spacing w:line="420" w:lineRule="exact"/>
        <w:ind w:firstLine="482" w:firstLineChars="20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培养目标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坚持立德树人，培养德、智、体、美全面发展，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具有坚定正确的政治方向、人生观、价值观和世界观，遵纪守法、品德良好以及体魄健康，</w:t>
      </w: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具备扎实的经济学理论知识，掌握现代经济学研究方法和分析工具，具有国际视野和较强的国际交流能力，能够对现实经济问题进行分析、研究和提出解决方案，具有继续深造学习的基础和能力，服务广东、面向全国经济社会发展需要，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可从事教学科研以及综合经济管理部门、金融机构、工商企业的经济分析与管理工作的专门人才。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72" w:firstLineChars="196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二、学科及研究方向</w:t>
      </w:r>
    </w:p>
    <w:p>
      <w:pPr>
        <w:spacing w:line="420" w:lineRule="exact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1.金融理论与政策</w:t>
      </w:r>
    </w:p>
    <w:p>
      <w:pPr>
        <w:spacing w:line="420" w:lineRule="exact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2.金融市场与风险管理</w:t>
      </w:r>
    </w:p>
    <w:p>
      <w:pPr>
        <w:spacing w:line="420" w:lineRule="exact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3.微金融与科技金融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72" w:firstLineChars="196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三、学习年限</w:t>
      </w:r>
    </w:p>
    <w:p>
      <w:pPr>
        <w:spacing w:line="420" w:lineRule="exact"/>
        <w:ind w:firstLine="480" w:firstLineChars="200"/>
        <w:textAlignment w:val="baseline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学制3年，最长学习年限5年（含休学和保留学籍），学位论文工作时间不少于1年。对提前完成规定学业、成绩特别优秀的研究生，可按《广东财经大学硕士研究生提前毕业暂行规定》申请提前毕业。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72" w:firstLineChars="196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四、培养方式</w:t>
      </w:r>
    </w:p>
    <w:p>
      <w:pPr>
        <w:spacing w:line="420" w:lineRule="exact"/>
        <w:ind w:firstLine="480" w:firstLineChars="200"/>
        <w:textAlignment w:val="baseline"/>
        <w:rPr>
          <w:rFonts w:ascii="宋体"/>
          <w:color w:val="000000"/>
          <w:kern w:val="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研究生培养采取指导教师负责制和导师组集体培养相结合、理论学习与科学研究相结合的方式。研究生入学确定导师后两周内制定培养计划，第四学期结束前按照《广东财经大学研究生中期考核办法》参加中期考核，中期考核通过者，方可继续培养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72" w:firstLineChars="196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五、课程设置</w:t>
      </w:r>
    </w:p>
    <w:p>
      <w:pPr>
        <w:widowControl/>
        <w:spacing w:line="420" w:lineRule="exact"/>
        <w:ind w:firstLine="480" w:firstLineChars="200"/>
        <w:jc w:val="left"/>
        <w:textAlignment w:val="baseline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研究生课程分学位类和非学位类两种，学术学位公共学位课、学科基础课、专业核心课为学位类课程，学术学位专业选修课、公共选修课为非学位类课程，18个学时计1学分。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72" w:firstLineChars="196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六、其他培养环节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（一）专业实践</w:t>
      </w:r>
    </w:p>
    <w:p>
      <w:pPr>
        <w:spacing w:line="420" w:lineRule="exact"/>
        <w:ind w:firstLine="480" w:firstLineChars="200"/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专业实践</w:t>
      </w:r>
      <w:r>
        <w:rPr>
          <w:rFonts w:hint="eastAsia" w:ascii="宋体" w:hAnsi="宋体"/>
          <w:color w:val="000000"/>
          <w:sz w:val="24"/>
          <w:szCs w:val="24"/>
          <w:highlight w:val="none"/>
        </w:rPr>
        <w:t>一般</w:t>
      </w:r>
      <w:r>
        <w:rPr>
          <w:rFonts w:hint="eastAsia" w:ascii="宋体" w:hAnsi="宋体"/>
          <w:sz w:val="24"/>
          <w:szCs w:val="24"/>
          <w:highlight w:val="none"/>
        </w:rPr>
        <w:t>安排在第四学期，时间不少于1个月，可通过社会调查、教学实践、科研实践、社会实践、专业实习等方式进行，实践活动结束（不迟于第五学期第10教学周）提交实践报告（3000字左右），指导教师进行评价鉴定，合格者计1学分。</w:t>
      </w:r>
      <w:r>
        <w:rPr>
          <w:rFonts w:ascii="宋体" w:hAnsi="宋体"/>
          <w:b/>
          <w:bCs/>
          <w:sz w:val="24"/>
          <w:szCs w:val="24"/>
          <w:highlight w:val="none"/>
        </w:rPr>
        <w:t xml:space="preserve"> 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（二）学术活动</w:t>
      </w:r>
    </w:p>
    <w:p>
      <w:pPr>
        <w:spacing w:line="420" w:lineRule="exact"/>
        <w:ind w:firstLine="480" w:firstLineChars="200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研究生在学期间应积极参加各类学术活动，参加或听取不少于12场（学校、学院组织或经导师认可），由学院进行考核，合格者计0.5学分；中期考核前完成不少于8000字的学术论文写作并主讲汇报，由中期考核小组考核，合格者计0.5学分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（三）文献阅读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研究生在导师指导下结合论文选题的需要，应阅读一定数量的中外文献资料，中期考核前写出不少于</w:t>
      </w:r>
      <w:r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篇读书报告交导师评阅，读书报告、导师评阅意见于中期考核前交所在培养单位，合格者计1学分。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72" w:firstLineChars="196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七、考核方式及要求</w:t>
      </w:r>
    </w:p>
    <w:p>
      <w:pPr>
        <w:spacing w:line="420" w:lineRule="exact"/>
        <w:ind w:firstLine="480" w:firstLineChars="200"/>
        <w:rPr>
          <w:rFonts w:ascii="仿宋_GB2312" w:eastAsia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学位类课程考核方式为：笔试（以下均含闭卷、开卷）、笔试结合课程论文、笔试结合口试、笔试结合实验设计等；非学位类课程考核方式为：笔试、口试、课程论文、课程论文结合实验设计、实验设计等形式，具体方式由任课教师确定。经考核合格，学位类课程达到70分及以上可获得学分，其他类课程达到60分及以上可获得学分。</w:t>
      </w:r>
    </w:p>
    <w:p>
      <w:pPr>
        <w:spacing w:line="420" w:lineRule="exact"/>
        <w:ind w:firstLine="480" w:firstLineChars="200"/>
        <w:textAlignment w:val="baseline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跨专业及同等学力考取的研究生应补修4门本科主干课程并列入个人培养计划，具体是《西方经济学》、《统计学》、《国际经济学》、《金融学》，补修方式按学院规定。补修课程采取闭卷考试，达到60分为合格，不记学分，应补修而未补修或者补修成绩不合格者不能进入学位论文撰写阶段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72" w:firstLineChars="196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八、毕业学分及要求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毕业要求总学分应修满38学分，其中课程35学分，实践活动1学分，学术活动1学分，文献阅读1学分。研究生修满学分，完成必修环节，中期考核合格，完成毕业论文并通过毕业答辩的，方可毕业。</w:t>
      </w:r>
    </w:p>
    <w:p>
      <w:pPr>
        <w:spacing w:line="420" w:lineRule="exact"/>
        <w:ind w:firstLine="470" w:firstLineChars="196"/>
        <w:rPr>
          <w:rFonts w:ascii="宋体" w:hAnsi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72" w:firstLineChars="196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九、学位论文及学位授予</w:t>
      </w:r>
    </w:p>
    <w:p>
      <w:pPr>
        <w:spacing w:line="420" w:lineRule="exact"/>
        <w:ind w:firstLine="470" w:firstLineChars="196"/>
        <w:rPr>
          <w:rFonts w:ascii="宋体" w:hAnsi="宋体"/>
          <w:color w:val="00000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  <w:highlight w:val="none"/>
        </w:rPr>
        <w:t>硕士学位论文的规范性要求、质量要求见《广东财经大学一级学科硕士学位授予标准（2019级）》、《广东财经大学专业学位授予标准（2019级）》和《广东财经大学硕士学位论文写作规范》等文件，学位论文与学位授予工作按学校《广东财经大学学位授予规定》、《广东财经大学学术学位硕士论文工作细则》和《广东财经大学专业学位硕士论文工作细则》等相关规定执行。</w:t>
      </w:r>
    </w:p>
    <w:p>
      <w:pPr>
        <w:spacing w:line="420" w:lineRule="exact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ind w:firstLine="482" w:firstLineChars="200"/>
        <w:rPr>
          <w:rFonts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十、教学设置</w:t>
      </w:r>
    </w:p>
    <w:p>
      <w:pPr>
        <w:widowControl/>
        <w:rPr>
          <w:b/>
          <w:color w:val="000000"/>
          <w:sz w:val="24"/>
          <w:highlight w:val="none"/>
        </w:rPr>
      </w:pPr>
      <w:r>
        <w:rPr>
          <w:highlight w:val="none"/>
        </w:rPr>
        <w:br w:type="page"/>
      </w:r>
      <w:r>
        <w:rPr>
          <w:rFonts w:hint="eastAsia"/>
          <w:b/>
          <w:color w:val="000000"/>
          <w:sz w:val="24"/>
          <w:highlight w:val="none"/>
        </w:rPr>
        <w:t>金融学</w:t>
      </w:r>
    </w:p>
    <w:tbl>
      <w:tblPr>
        <w:tblStyle w:val="21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120"/>
        <w:gridCol w:w="2346"/>
        <w:gridCol w:w="694"/>
        <w:gridCol w:w="680"/>
        <w:gridCol w:w="748"/>
        <w:gridCol w:w="1777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类别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课程编号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课程名称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学时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学分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学期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任课教师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highlight w:val="none"/>
              </w:rPr>
              <w:t>公共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  <w:highlight w:val="none"/>
              </w:rPr>
              <w:t>学位课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S2201004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马克思主义理论课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54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1.2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课程组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S4101004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基础英语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144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1.2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课程组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外国语学院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  <w:highlight w:val="none"/>
              </w:rPr>
              <w:t>学科基础课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S0001001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中级微观经济学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54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1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课程组</w:t>
            </w: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S0001002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中级宏观经济学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54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2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课程组</w:t>
            </w: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S0001003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中级计量经济学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54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1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highlight w:val="none"/>
              </w:rPr>
              <w:t>课程组</w:t>
            </w: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Cs w:val="21"/>
                <w:highlight w:val="none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专业</w:t>
            </w:r>
          </w:p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核心课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S1202002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公司金融理论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1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蔡卫星 袁  鲲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马  超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S1202003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现代投资理论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2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highlight w:val="none"/>
              </w:rPr>
              <w:t>朱顺泉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S1203003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金融经济学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刁怀宏 邹新月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彭大衡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专业</w:t>
            </w:r>
          </w:p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选修课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S1202001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国际金融研究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骆祚炎 苏国强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潘成夫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S1203001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金融前沿问题研究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段军山 邹新月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S1203002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金融经典名著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（篇）阅读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刘  刚 郭文伟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S1202004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风险管理理论与方法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刘湘云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S1202005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金融工程学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彭大衡 黄金波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S1202006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商业银行研究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王向荣 张世春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S1202007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基金投资与管理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孟令国 江振华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S1202008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财富管理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黄德权 王学武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S1202009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资本市场运作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胡新明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S1202010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微金融与科技金融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刘  刚 丁  杰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S1202011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博弈论与信息经济学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highlight w:val="none"/>
              </w:rPr>
              <w:t>朱顺泉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highlight w:val="none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公共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highlight w:val="none"/>
              </w:rPr>
              <w:t>选修课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S0004011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研究方法工具及应用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S0004012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博雅基础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S0004013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创新创业类专题课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0004006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日语</w:t>
            </w:r>
          </w:p>
        </w:tc>
        <w:tc>
          <w:tcPr>
            <w:tcW w:w="69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  <w:tc>
          <w:tcPr>
            <w:tcW w:w="169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kern w:val="0"/>
                <w:szCs w:val="21"/>
                <w:highlight w:val="none"/>
              </w:rPr>
              <w:t>其它培养环节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专业实践</w:t>
            </w:r>
          </w:p>
        </w:tc>
        <w:tc>
          <w:tcPr>
            <w:tcW w:w="559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学术活动</w:t>
            </w:r>
          </w:p>
        </w:tc>
        <w:tc>
          <w:tcPr>
            <w:tcW w:w="559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文献阅读</w:t>
            </w:r>
          </w:p>
        </w:tc>
        <w:tc>
          <w:tcPr>
            <w:tcW w:w="559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szCs w:val="21"/>
                <w:highlight w:val="none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跨专业及同等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学力补修课程</w:t>
            </w:r>
          </w:p>
        </w:tc>
        <w:tc>
          <w:tcPr>
            <w:tcW w:w="559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《西方经济学》、《统计学》、《国际经济学》、《金融学》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2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总学分</w:t>
            </w:r>
          </w:p>
        </w:tc>
        <w:tc>
          <w:tcPr>
            <w:tcW w:w="5597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38学分</w:t>
            </w:r>
          </w:p>
        </w:tc>
      </w:tr>
    </w:tbl>
    <w:p>
      <w:pPr>
        <w:spacing w:line="420" w:lineRule="exact"/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szCs w:val="21"/>
          <w:highlight w:val="none"/>
        </w:rPr>
        <w:br w:type="page"/>
      </w:r>
    </w:p>
    <w:p>
      <w:pPr>
        <w:widowControl/>
        <w:jc w:val="left"/>
        <w:rPr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highlight w:val="none"/>
        </w:rPr>
      </w:pPr>
      <w:bookmarkStart w:id="0" w:name="_GoBack"/>
      <w:bookmarkEnd w:id="0"/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7" w:h="16160"/>
      <w:pgMar w:top="1134" w:right="1701" w:bottom="1134" w:left="1701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5"/>
      </w:rPr>
    </w:pPr>
    <w:r>
      <w:rPr>
        <w:rStyle w:val="25"/>
        <w:rFonts w:hint="eastAsia"/>
      </w:rPr>
      <w:t>－</w:t>
    </w:r>
    <w:r>
      <w:fldChar w:fldCharType="begin"/>
    </w:r>
    <w:r>
      <w:rPr>
        <w:rStyle w:val="25"/>
      </w:rPr>
      <w:instrText xml:space="preserve">PAGE  </w:instrText>
    </w:r>
    <w:r>
      <w:fldChar w:fldCharType="separate"/>
    </w:r>
    <w:r>
      <w:rPr>
        <w:rStyle w:val="25"/>
      </w:rPr>
      <w:t>5</w:t>
    </w:r>
    <w:r>
      <w:fldChar w:fldCharType="end"/>
    </w:r>
    <w:r>
      <w:rPr>
        <w:rStyle w:val="25"/>
        <w:rFonts w:hint="eastAsia"/>
      </w:rPr>
      <w:t>－</w:t>
    </w:r>
  </w:p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83"/>
    <w:rsid w:val="00000C57"/>
    <w:rsid w:val="00030975"/>
    <w:rsid w:val="00041604"/>
    <w:rsid w:val="00045553"/>
    <w:rsid w:val="000637BD"/>
    <w:rsid w:val="000660CF"/>
    <w:rsid w:val="000749A0"/>
    <w:rsid w:val="000D21F6"/>
    <w:rsid w:val="000D6D4E"/>
    <w:rsid w:val="000E601F"/>
    <w:rsid w:val="00141AD5"/>
    <w:rsid w:val="00193759"/>
    <w:rsid w:val="001C30BD"/>
    <w:rsid w:val="00247DAA"/>
    <w:rsid w:val="002542B4"/>
    <w:rsid w:val="00261180"/>
    <w:rsid w:val="00274DDC"/>
    <w:rsid w:val="0029477F"/>
    <w:rsid w:val="002B3080"/>
    <w:rsid w:val="002E3C6B"/>
    <w:rsid w:val="00300837"/>
    <w:rsid w:val="00311D25"/>
    <w:rsid w:val="00360709"/>
    <w:rsid w:val="00363BDA"/>
    <w:rsid w:val="00376302"/>
    <w:rsid w:val="003A79A5"/>
    <w:rsid w:val="003A7A1A"/>
    <w:rsid w:val="003E7E2D"/>
    <w:rsid w:val="00407F26"/>
    <w:rsid w:val="004110EE"/>
    <w:rsid w:val="00422126"/>
    <w:rsid w:val="004440AF"/>
    <w:rsid w:val="004559B2"/>
    <w:rsid w:val="00460060"/>
    <w:rsid w:val="00467414"/>
    <w:rsid w:val="004968DC"/>
    <w:rsid w:val="004D21C1"/>
    <w:rsid w:val="004D459E"/>
    <w:rsid w:val="00502DD4"/>
    <w:rsid w:val="00524F65"/>
    <w:rsid w:val="00545D8E"/>
    <w:rsid w:val="005542C5"/>
    <w:rsid w:val="00557583"/>
    <w:rsid w:val="005A2272"/>
    <w:rsid w:val="005B22DD"/>
    <w:rsid w:val="005F2DBF"/>
    <w:rsid w:val="005F4D8E"/>
    <w:rsid w:val="005F5C9F"/>
    <w:rsid w:val="00636E09"/>
    <w:rsid w:val="00641A9D"/>
    <w:rsid w:val="00667535"/>
    <w:rsid w:val="006800BF"/>
    <w:rsid w:val="0069046E"/>
    <w:rsid w:val="00696534"/>
    <w:rsid w:val="006C3CD2"/>
    <w:rsid w:val="006E308E"/>
    <w:rsid w:val="00712116"/>
    <w:rsid w:val="007152AB"/>
    <w:rsid w:val="00716B27"/>
    <w:rsid w:val="00722850"/>
    <w:rsid w:val="00733432"/>
    <w:rsid w:val="007351A7"/>
    <w:rsid w:val="0074422A"/>
    <w:rsid w:val="007660BB"/>
    <w:rsid w:val="00771F33"/>
    <w:rsid w:val="0079315E"/>
    <w:rsid w:val="00813CA5"/>
    <w:rsid w:val="008226F2"/>
    <w:rsid w:val="008360AB"/>
    <w:rsid w:val="0085118D"/>
    <w:rsid w:val="00857772"/>
    <w:rsid w:val="0087302A"/>
    <w:rsid w:val="0088180B"/>
    <w:rsid w:val="00884514"/>
    <w:rsid w:val="008E3AFF"/>
    <w:rsid w:val="008E642A"/>
    <w:rsid w:val="008F4804"/>
    <w:rsid w:val="00901FA6"/>
    <w:rsid w:val="00930183"/>
    <w:rsid w:val="009A1FFE"/>
    <w:rsid w:val="009C4222"/>
    <w:rsid w:val="009F62BB"/>
    <w:rsid w:val="00A02C25"/>
    <w:rsid w:val="00A10B9C"/>
    <w:rsid w:val="00A11307"/>
    <w:rsid w:val="00A30AFA"/>
    <w:rsid w:val="00A4615F"/>
    <w:rsid w:val="00A80BAD"/>
    <w:rsid w:val="00AB1DE9"/>
    <w:rsid w:val="00AB4FDB"/>
    <w:rsid w:val="00AD3E71"/>
    <w:rsid w:val="00AD43A8"/>
    <w:rsid w:val="00AE2B6E"/>
    <w:rsid w:val="00B00E07"/>
    <w:rsid w:val="00B27514"/>
    <w:rsid w:val="00B33263"/>
    <w:rsid w:val="00B4145F"/>
    <w:rsid w:val="00B75C85"/>
    <w:rsid w:val="00B87A12"/>
    <w:rsid w:val="00B938B9"/>
    <w:rsid w:val="00BD0351"/>
    <w:rsid w:val="00BD0EDD"/>
    <w:rsid w:val="00C070D8"/>
    <w:rsid w:val="00C41CB8"/>
    <w:rsid w:val="00C42D80"/>
    <w:rsid w:val="00C478E9"/>
    <w:rsid w:val="00C572B8"/>
    <w:rsid w:val="00C66F79"/>
    <w:rsid w:val="00C96856"/>
    <w:rsid w:val="00CC1E86"/>
    <w:rsid w:val="00CF2EE4"/>
    <w:rsid w:val="00D114C1"/>
    <w:rsid w:val="00D15EB6"/>
    <w:rsid w:val="00D76EBC"/>
    <w:rsid w:val="00D93399"/>
    <w:rsid w:val="00DA0E04"/>
    <w:rsid w:val="00DA61BC"/>
    <w:rsid w:val="00DE310D"/>
    <w:rsid w:val="00E10BF8"/>
    <w:rsid w:val="00E17256"/>
    <w:rsid w:val="00E41A06"/>
    <w:rsid w:val="00E501A8"/>
    <w:rsid w:val="00E505B9"/>
    <w:rsid w:val="00E51F5C"/>
    <w:rsid w:val="00F0217C"/>
    <w:rsid w:val="00F157C2"/>
    <w:rsid w:val="00F36AE4"/>
    <w:rsid w:val="00F4115D"/>
    <w:rsid w:val="00F6013A"/>
    <w:rsid w:val="00F71F2D"/>
    <w:rsid w:val="00F72540"/>
    <w:rsid w:val="00F72E4E"/>
    <w:rsid w:val="00F75451"/>
    <w:rsid w:val="00F84ABE"/>
    <w:rsid w:val="00F93D69"/>
    <w:rsid w:val="00F95390"/>
    <w:rsid w:val="00FE24BE"/>
    <w:rsid w:val="028636C0"/>
    <w:rsid w:val="02DB3246"/>
    <w:rsid w:val="048023D8"/>
    <w:rsid w:val="0833424E"/>
    <w:rsid w:val="08971A23"/>
    <w:rsid w:val="0971017B"/>
    <w:rsid w:val="0BE35152"/>
    <w:rsid w:val="13BA0871"/>
    <w:rsid w:val="16597992"/>
    <w:rsid w:val="16C17ACC"/>
    <w:rsid w:val="17970437"/>
    <w:rsid w:val="188826C9"/>
    <w:rsid w:val="193140B6"/>
    <w:rsid w:val="196F57D9"/>
    <w:rsid w:val="1A5A2524"/>
    <w:rsid w:val="1AEC0802"/>
    <w:rsid w:val="1BE76368"/>
    <w:rsid w:val="1C9C558F"/>
    <w:rsid w:val="200F5B15"/>
    <w:rsid w:val="214205BF"/>
    <w:rsid w:val="2197273F"/>
    <w:rsid w:val="224A32E9"/>
    <w:rsid w:val="22651BC8"/>
    <w:rsid w:val="237016BF"/>
    <w:rsid w:val="26991AE9"/>
    <w:rsid w:val="298F7B31"/>
    <w:rsid w:val="2A1E6D90"/>
    <w:rsid w:val="2D724536"/>
    <w:rsid w:val="2E6F5CAA"/>
    <w:rsid w:val="311932C2"/>
    <w:rsid w:val="31BE59C4"/>
    <w:rsid w:val="38FB5AC8"/>
    <w:rsid w:val="397F5EE8"/>
    <w:rsid w:val="39F57092"/>
    <w:rsid w:val="3CE55DA7"/>
    <w:rsid w:val="40E640B2"/>
    <w:rsid w:val="47283A44"/>
    <w:rsid w:val="48810045"/>
    <w:rsid w:val="4B2A1300"/>
    <w:rsid w:val="4FDC1C5C"/>
    <w:rsid w:val="51986903"/>
    <w:rsid w:val="548C538D"/>
    <w:rsid w:val="59493710"/>
    <w:rsid w:val="59E457B1"/>
    <w:rsid w:val="5CEF2875"/>
    <w:rsid w:val="5F163CEB"/>
    <w:rsid w:val="602E42F5"/>
    <w:rsid w:val="6207560F"/>
    <w:rsid w:val="63027DEF"/>
    <w:rsid w:val="638D3ABA"/>
    <w:rsid w:val="64DE1565"/>
    <w:rsid w:val="6D3033E7"/>
    <w:rsid w:val="6E405D9B"/>
    <w:rsid w:val="738946E8"/>
    <w:rsid w:val="7813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2"/>
    <w:qFormat/>
    <w:uiPriority w:val="0"/>
    <w:pPr>
      <w:shd w:val="clear" w:color="auto" w:fill="000080"/>
    </w:pPr>
  </w:style>
  <w:style w:type="paragraph" w:styleId="5">
    <w:name w:val="annotation text"/>
    <w:basedOn w:val="1"/>
    <w:link w:val="33"/>
    <w:qFormat/>
    <w:uiPriority w:val="99"/>
    <w:pPr>
      <w:jc w:val="left"/>
    </w:pPr>
  </w:style>
  <w:style w:type="paragraph" w:styleId="6">
    <w:name w:val="Body Text Indent"/>
    <w:basedOn w:val="1"/>
    <w:link w:val="34"/>
    <w:qFormat/>
    <w:uiPriority w:val="99"/>
    <w:pPr>
      <w:spacing w:after="120"/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Plain Text"/>
    <w:basedOn w:val="1"/>
    <w:link w:val="35"/>
    <w:qFormat/>
    <w:uiPriority w:val="0"/>
    <w:rPr>
      <w:rFonts w:ascii="宋体" w:hAnsi="Courier New"/>
    </w:rPr>
  </w:style>
  <w:style w:type="paragraph" w:styleId="9">
    <w:name w:val="Body Text Indent 2"/>
    <w:basedOn w:val="1"/>
    <w:link w:val="36"/>
    <w:qFormat/>
    <w:uiPriority w:val="0"/>
    <w:pPr>
      <w:spacing w:after="120" w:line="480" w:lineRule="auto"/>
      <w:ind w:left="420" w:leftChars="200"/>
    </w:pPr>
  </w:style>
  <w:style w:type="paragraph" w:styleId="10">
    <w:name w:val="endnote text"/>
    <w:basedOn w:val="1"/>
    <w:link w:val="37"/>
    <w:qFormat/>
    <w:uiPriority w:val="0"/>
    <w:pPr>
      <w:snapToGrid w:val="0"/>
      <w:jc w:val="left"/>
    </w:pPr>
  </w:style>
  <w:style w:type="paragraph" w:styleId="11">
    <w:name w:val="Balloon Text"/>
    <w:basedOn w:val="1"/>
    <w:link w:val="38"/>
    <w:qFormat/>
    <w:uiPriority w:val="99"/>
    <w:rPr>
      <w:sz w:val="18"/>
      <w:szCs w:val="18"/>
    </w:rPr>
  </w:style>
  <w:style w:type="paragraph" w:styleId="12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tabs>
        <w:tab w:val="right" w:leader="dot" w:pos="8844"/>
      </w:tabs>
      <w:spacing w:after="100" w:line="500" w:lineRule="exact"/>
      <w:jc w:val="left"/>
    </w:pPr>
    <w:rPr>
      <w:rFonts w:ascii="黑体" w:hAnsi="黑体" w:eastAsia="黑体"/>
      <w:b/>
      <w:bCs/>
      <w:kern w:val="0"/>
      <w:sz w:val="28"/>
      <w:szCs w:val="28"/>
    </w:rPr>
  </w:style>
  <w:style w:type="paragraph" w:styleId="15">
    <w:name w:val="footnote text"/>
    <w:basedOn w:val="1"/>
    <w:link w:val="41"/>
    <w:qFormat/>
    <w:uiPriority w:val="0"/>
    <w:pPr>
      <w:snapToGrid w:val="0"/>
      <w:jc w:val="left"/>
    </w:pPr>
    <w:rPr>
      <w:sz w:val="18"/>
      <w:szCs w:val="18"/>
    </w:rPr>
  </w:style>
  <w:style w:type="paragraph" w:styleId="16">
    <w:name w:val="Body Text Indent 3"/>
    <w:basedOn w:val="1"/>
    <w:link w:val="42"/>
    <w:qFormat/>
    <w:uiPriority w:val="0"/>
    <w:pPr>
      <w:spacing w:line="440" w:lineRule="exact"/>
      <w:ind w:firstLine="480" w:firstLineChars="200"/>
    </w:pPr>
    <w:rPr>
      <w:color w:val="FF6600"/>
      <w:sz w:val="24"/>
    </w:rPr>
  </w:style>
  <w:style w:type="paragraph" w:styleId="17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8">
    <w:name w:val="HTML Preformatted"/>
    <w:basedOn w:val="1"/>
    <w:link w:val="4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annotation subject"/>
    <w:basedOn w:val="5"/>
    <w:next w:val="5"/>
    <w:link w:val="67"/>
    <w:unhideWhenUsed/>
    <w:qFormat/>
    <w:uiPriority w:val="99"/>
    <w:rPr>
      <w:b/>
      <w:bCs/>
      <w:szCs w:val="22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qFormat/>
    <w:uiPriority w:val="0"/>
    <w:rPr>
      <w:rFonts w:ascii="Tahoma" w:hAnsi="Tahoma" w:eastAsia="Tahoma" w:cs="Tahoma"/>
      <w:b/>
      <w:sz w:val="24"/>
    </w:rPr>
  </w:style>
  <w:style w:type="character" w:styleId="25">
    <w:name w:val="page number"/>
    <w:qFormat/>
    <w:uiPriority w:val="0"/>
  </w:style>
  <w:style w:type="character" w:styleId="26">
    <w:name w:val="FollowedHyperlink"/>
    <w:qFormat/>
    <w:uiPriority w:val="0"/>
    <w:rPr>
      <w:rFonts w:hint="default" w:ascii="Tahoma" w:hAnsi="Tahoma" w:eastAsia="Tahoma" w:cs="Tahoma"/>
      <w:color w:val="800080"/>
      <w:sz w:val="18"/>
      <w:szCs w:val="18"/>
      <w:u w:val="single"/>
    </w:rPr>
  </w:style>
  <w:style w:type="character" w:styleId="27">
    <w:name w:val="Emphasis"/>
    <w:qFormat/>
    <w:uiPriority w:val="0"/>
    <w:rPr>
      <w:rFonts w:ascii="Tahoma" w:hAnsi="Tahoma"/>
      <w:i/>
      <w:sz w:val="24"/>
    </w:rPr>
  </w:style>
  <w:style w:type="character" w:styleId="28">
    <w:name w:val="Hyperlink"/>
    <w:qFormat/>
    <w:uiPriority w:val="99"/>
    <w:rPr>
      <w:color w:val="0000FF"/>
      <w:u w:val="single"/>
    </w:rPr>
  </w:style>
  <w:style w:type="character" w:styleId="29">
    <w:name w:val="footnote reference"/>
    <w:qFormat/>
    <w:uiPriority w:val="0"/>
    <w:rPr>
      <w:vertAlign w:val="superscript"/>
    </w:rPr>
  </w:style>
  <w:style w:type="character" w:customStyle="1" w:styleId="30">
    <w:name w:val="标题 1 字符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字符"/>
    <w:link w:val="3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文档结构图 字符"/>
    <w:link w:val="4"/>
    <w:qFormat/>
    <w:uiPriority w:val="0"/>
    <w:rPr>
      <w:kern w:val="2"/>
      <w:sz w:val="21"/>
      <w:shd w:val="clear" w:color="auto" w:fill="000080"/>
    </w:rPr>
  </w:style>
  <w:style w:type="character" w:customStyle="1" w:styleId="33">
    <w:name w:val="批注文字 字符"/>
    <w:link w:val="5"/>
    <w:qFormat/>
    <w:uiPriority w:val="99"/>
    <w:rPr>
      <w:kern w:val="2"/>
      <w:sz w:val="21"/>
    </w:rPr>
  </w:style>
  <w:style w:type="character" w:customStyle="1" w:styleId="34">
    <w:name w:val="正文文本缩进 字符"/>
    <w:link w:val="6"/>
    <w:qFormat/>
    <w:uiPriority w:val="99"/>
    <w:rPr>
      <w:kern w:val="2"/>
      <w:sz w:val="21"/>
    </w:rPr>
  </w:style>
  <w:style w:type="character" w:customStyle="1" w:styleId="35">
    <w:name w:val="纯文本 字符"/>
    <w:link w:val="8"/>
    <w:qFormat/>
    <w:uiPriority w:val="0"/>
    <w:rPr>
      <w:rFonts w:ascii="宋体" w:hAnsi="Courier New"/>
      <w:kern w:val="2"/>
      <w:sz w:val="21"/>
    </w:rPr>
  </w:style>
  <w:style w:type="character" w:customStyle="1" w:styleId="36">
    <w:name w:val="正文文本缩进 2 字符"/>
    <w:link w:val="9"/>
    <w:qFormat/>
    <w:uiPriority w:val="0"/>
    <w:rPr>
      <w:kern w:val="2"/>
      <w:sz w:val="21"/>
    </w:rPr>
  </w:style>
  <w:style w:type="character" w:customStyle="1" w:styleId="37">
    <w:name w:val="尾注文本 字符"/>
    <w:link w:val="10"/>
    <w:qFormat/>
    <w:uiPriority w:val="0"/>
    <w:rPr>
      <w:kern w:val="2"/>
      <w:sz w:val="21"/>
    </w:rPr>
  </w:style>
  <w:style w:type="character" w:customStyle="1" w:styleId="38">
    <w:name w:val="批注框文本 字符"/>
    <w:link w:val="11"/>
    <w:qFormat/>
    <w:uiPriority w:val="99"/>
    <w:rPr>
      <w:kern w:val="2"/>
      <w:sz w:val="18"/>
      <w:szCs w:val="18"/>
    </w:rPr>
  </w:style>
  <w:style w:type="character" w:customStyle="1" w:styleId="39">
    <w:name w:val="页脚 字符"/>
    <w:link w:val="12"/>
    <w:qFormat/>
    <w:uiPriority w:val="99"/>
    <w:rPr>
      <w:kern w:val="2"/>
      <w:sz w:val="18"/>
    </w:rPr>
  </w:style>
  <w:style w:type="character" w:customStyle="1" w:styleId="40">
    <w:name w:val="页眉 字符"/>
    <w:link w:val="13"/>
    <w:qFormat/>
    <w:uiPriority w:val="99"/>
    <w:rPr>
      <w:kern w:val="2"/>
      <w:sz w:val="18"/>
    </w:rPr>
  </w:style>
  <w:style w:type="character" w:customStyle="1" w:styleId="41">
    <w:name w:val="脚注文本 字符"/>
    <w:link w:val="15"/>
    <w:qFormat/>
    <w:uiPriority w:val="0"/>
    <w:rPr>
      <w:kern w:val="2"/>
      <w:sz w:val="18"/>
      <w:szCs w:val="18"/>
    </w:rPr>
  </w:style>
  <w:style w:type="character" w:customStyle="1" w:styleId="42">
    <w:name w:val="正文文本缩进 3 字符"/>
    <w:link w:val="16"/>
    <w:qFormat/>
    <w:uiPriority w:val="0"/>
    <w:rPr>
      <w:color w:val="FF6600"/>
      <w:kern w:val="2"/>
      <w:sz w:val="24"/>
    </w:rPr>
  </w:style>
  <w:style w:type="character" w:customStyle="1" w:styleId="43">
    <w:name w:val="HTML 预设格式 字符"/>
    <w:link w:val="18"/>
    <w:qFormat/>
    <w:uiPriority w:val="99"/>
    <w:rPr>
      <w:rFonts w:ascii="宋体" w:hAnsi="宋体"/>
      <w:sz w:val="24"/>
    </w:rPr>
  </w:style>
  <w:style w:type="paragraph" w:customStyle="1" w:styleId="44">
    <w:name w:val="Char Char Char Char Char Char Char Char Char Char"/>
    <w:basedOn w:val="1"/>
    <w:qFormat/>
    <w:uiPriority w:val="0"/>
  </w:style>
  <w:style w:type="paragraph" w:customStyle="1" w:styleId="45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46">
    <w:name w:val="Char Char Char Char Char Char1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47">
    <w:name w:val="_Style 30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48">
    <w:name w:val="1"/>
    <w:basedOn w:val="1"/>
    <w:next w:val="9"/>
    <w:qFormat/>
    <w:uiPriority w:val="0"/>
    <w:pPr>
      <w:ind w:firstLine="600"/>
    </w:pPr>
    <w:rPr>
      <w:rFonts w:eastAsia="仿宋_GB2312"/>
      <w:sz w:val="24"/>
    </w:rPr>
  </w:style>
  <w:style w:type="paragraph" w:customStyle="1" w:styleId="49">
    <w:name w:val="f_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0">
    <w:name w:val="Char"/>
    <w:basedOn w:val="1"/>
    <w:qFormat/>
    <w:uiPriority w:val="0"/>
    <w:rPr>
      <w:rFonts w:ascii="Tahoma" w:hAnsi="Tahoma"/>
      <w:sz w:val="24"/>
    </w:rPr>
  </w:style>
  <w:style w:type="character" w:customStyle="1" w:styleId="51">
    <w:name w:val="脚注文本 Char1"/>
    <w:qFormat/>
    <w:uiPriority w:val="0"/>
    <w:rPr>
      <w:kern w:val="2"/>
      <w:sz w:val="18"/>
      <w:szCs w:val="18"/>
    </w:rPr>
  </w:style>
  <w:style w:type="character" w:customStyle="1" w:styleId="52">
    <w:name w:val="eseditbar1"/>
    <w:qFormat/>
    <w:uiPriority w:val="0"/>
    <w:rPr>
      <w:rFonts w:ascii="Tahoma" w:hAnsi="Tahoma"/>
      <w:color w:val="000000"/>
      <w:sz w:val="24"/>
    </w:rPr>
  </w:style>
  <w:style w:type="character" w:customStyle="1" w:styleId="53">
    <w:name w:val="纯文本 Char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4">
    <w:name w:val="bdexpandicon"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55">
    <w:name w:val="HTML 预设格式 Char1"/>
    <w:qFormat/>
    <w:uiPriority w:val="0"/>
    <w:rPr>
      <w:rFonts w:ascii="Courier New" w:hAnsi="Courier New" w:cs="Courier New"/>
      <w:kern w:val="2"/>
    </w:rPr>
  </w:style>
  <w:style w:type="character" w:customStyle="1" w:styleId="56">
    <w:name w:val="bdexpandicon2"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4" w:space="0"/>
      <w:shd w:val="clear" w:color="auto" w:fill="FFFFFF"/>
      <w:vertAlign w:val="baseline"/>
    </w:rPr>
  </w:style>
  <w:style w:type="character" w:customStyle="1" w:styleId="57">
    <w:name w:val="尾注文本 Char1"/>
    <w:qFormat/>
    <w:uiPriority w:val="0"/>
    <w:rPr>
      <w:kern w:val="2"/>
      <w:sz w:val="21"/>
    </w:rPr>
  </w:style>
  <w:style w:type="character" w:customStyle="1" w:styleId="58">
    <w:name w:val="bdexpandicon1"/>
    <w:qFormat/>
    <w:uiPriority w:val="0"/>
    <w:rPr>
      <w:rFonts w:ascii="Tahoma" w:hAnsi="Tahoma"/>
      <w:color w:val="000000"/>
      <w:sz w:val="24"/>
    </w:rPr>
  </w:style>
  <w:style w:type="character" w:customStyle="1" w:styleId="59">
    <w:name w:val="eseditbar"/>
    <w:qFormat/>
    <w:uiPriority w:val="0"/>
    <w:rPr>
      <w:rFonts w:ascii="Tahoma" w:hAnsi="Tahoma"/>
      <w:color w:val="000000"/>
      <w:sz w:val="24"/>
      <w:shd w:val="clear" w:color="auto" w:fill="999999"/>
    </w:rPr>
  </w:style>
  <w:style w:type="character" w:customStyle="1" w:styleId="60">
    <w:name w:val="HTML 预设格式 Char2"/>
    <w:qFormat/>
    <w:uiPriority w:val="0"/>
    <w:rPr>
      <w:rFonts w:ascii="Courier New" w:hAnsi="Courier New" w:cs="Courier New"/>
      <w:kern w:val="2"/>
    </w:rPr>
  </w:style>
  <w:style w:type="character" w:customStyle="1" w:styleId="61">
    <w:name w:val="op_dict3_font241"/>
    <w:qFormat/>
    <w:uiPriority w:val="0"/>
    <w:rPr>
      <w:rFonts w:hint="default" w:ascii="Arial" w:hAnsi="Arial" w:cs="Arial"/>
      <w:sz w:val="36"/>
      <w:szCs w:val="36"/>
    </w:rPr>
  </w:style>
  <w:style w:type="character" w:customStyle="1" w:styleId="62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3">
    <w:name w:val="apple-converted-space"/>
    <w:qFormat/>
    <w:uiPriority w:val="0"/>
    <w:rPr>
      <w:rFonts w:ascii="Tahoma" w:hAnsi="Tahoma"/>
      <w:sz w:val="24"/>
    </w:rPr>
  </w:style>
  <w:style w:type="character" w:customStyle="1" w:styleId="64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5">
    <w:name w:val="不明显强调1"/>
    <w:basedOn w:val="2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66">
    <w:name w:val="List Paragraph"/>
    <w:basedOn w:val="1"/>
    <w:qFormat/>
    <w:uiPriority w:val="99"/>
    <w:pPr>
      <w:ind w:firstLine="420" w:firstLineChars="200"/>
    </w:pPr>
  </w:style>
  <w:style w:type="character" w:customStyle="1" w:styleId="67">
    <w:name w:val="批注主题 字符"/>
    <w:basedOn w:val="33"/>
    <w:link w:val="20"/>
    <w:qFormat/>
    <w:uiPriority w:val="99"/>
    <w:rPr>
      <w:b/>
      <w:bCs/>
      <w:kern w:val="2"/>
      <w:sz w:val="21"/>
      <w:szCs w:val="22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7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870AF-4319-4CEE-9D7A-F386A88B26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135</Pages>
  <Words>14668</Words>
  <Characters>83609</Characters>
  <Lines>696</Lines>
  <Paragraphs>196</Paragraphs>
  <TotalTime>2</TotalTime>
  <ScaleCrop>false</ScaleCrop>
  <LinksUpToDate>false</LinksUpToDate>
  <CharactersWithSpaces>98081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2019-08-22T05:49:00Z</dcterms:created>
  <dc:creator>www</dc:creator>
  <cp:lastModifiedBy>王薇</cp:lastModifiedBy>
  <cp:lastPrinted>2019-08-24T23:28:00Z</cp:lastPrinted>
  <dcterms:modified xsi:type="dcterms:W3CDTF">2020-06-24T07:44:44Z</dcterms:modified>
  <dc:title>国民经济学 020201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